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F2C" w:rsidRPr="00C31F2C" w:rsidRDefault="00C31F2C" w:rsidP="00230465">
      <w:pPr>
        <w:widowControl/>
        <w:spacing w:afterLines="50"/>
        <w:ind w:rightChars="50" w:right="105"/>
        <w:jc w:val="left"/>
        <w:rPr>
          <w:rFonts w:ascii="宋体" w:eastAsia="宋体" w:hAnsi="宋体" w:cs="宋体"/>
          <w:bCs/>
          <w:color w:val="484848"/>
          <w:kern w:val="0"/>
          <w:sz w:val="24"/>
          <w:szCs w:val="24"/>
        </w:rPr>
      </w:pPr>
      <w:r w:rsidRPr="00C31F2C">
        <w:rPr>
          <w:rFonts w:ascii="宋体" w:eastAsia="宋体" w:hAnsi="宋体" w:cs="宋体" w:hint="eastAsia"/>
          <w:bCs/>
          <w:color w:val="484848"/>
          <w:kern w:val="0"/>
          <w:sz w:val="24"/>
          <w:szCs w:val="24"/>
        </w:rPr>
        <w:t>附件1</w:t>
      </w:r>
    </w:p>
    <w:p w:rsidR="00C31F2C" w:rsidRPr="00C31F2C" w:rsidRDefault="00320669" w:rsidP="00230465">
      <w:pPr>
        <w:widowControl/>
        <w:spacing w:afterLines="50"/>
        <w:jc w:val="center"/>
        <w:rPr>
          <w:rFonts w:ascii="方正小标宋简体" w:eastAsia="方正小标宋简体" w:hAnsi="仿宋" w:cs="宋体"/>
          <w:color w:val="484848"/>
          <w:kern w:val="0"/>
          <w:sz w:val="32"/>
          <w:szCs w:val="32"/>
        </w:rPr>
      </w:pPr>
      <w:r w:rsidRPr="00320669">
        <w:rPr>
          <w:rFonts w:ascii="方正小标宋简体" w:eastAsia="方正小标宋简体" w:hAnsi="微软雅黑" w:cs="宋体" w:hint="eastAsia"/>
          <w:bCs/>
          <w:color w:val="484848"/>
          <w:kern w:val="0"/>
          <w:sz w:val="32"/>
          <w:szCs w:val="32"/>
        </w:rPr>
        <w:t>全科医生转岗</w:t>
      </w:r>
      <w:r w:rsidR="00C31F2C" w:rsidRPr="00C31F2C">
        <w:rPr>
          <w:rFonts w:ascii="方正小标宋简体" w:eastAsia="方正小标宋简体" w:hAnsi="微软雅黑" w:cs="宋体" w:hint="eastAsia"/>
          <w:bCs/>
          <w:color w:val="484848"/>
          <w:kern w:val="0"/>
          <w:sz w:val="32"/>
          <w:szCs w:val="32"/>
        </w:rPr>
        <w:t>培训</w:t>
      </w:r>
      <w:r w:rsidR="00230465">
        <w:rPr>
          <w:rFonts w:ascii="方正小标宋简体" w:eastAsia="方正小标宋简体" w:hAnsi="微软雅黑" w:cs="宋体" w:hint="eastAsia"/>
          <w:bCs/>
          <w:color w:val="484848"/>
          <w:kern w:val="0"/>
          <w:sz w:val="32"/>
          <w:szCs w:val="32"/>
        </w:rPr>
        <w:t>安排表</w:t>
      </w:r>
    </w:p>
    <w:tbl>
      <w:tblPr>
        <w:tblW w:w="88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72"/>
        <w:gridCol w:w="3397"/>
        <w:gridCol w:w="1019"/>
        <w:gridCol w:w="2918"/>
      </w:tblGrid>
      <w:tr w:rsidR="00C31F2C" w:rsidRPr="00C31F2C" w:rsidTr="00C31F2C">
        <w:trPr>
          <w:trHeight w:val="551"/>
          <w:jc w:val="center"/>
        </w:trPr>
        <w:tc>
          <w:tcPr>
            <w:tcW w:w="14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黑体" w:eastAsia="黑体" w:hAnsi="黑体" w:cs="宋体" w:hint="eastAsia"/>
                <w:color w:val="484848"/>
                <w:kern w:val="0"/>
                <w:szCs w:val="21"/>
              </w:rPr>
              <w:t>培训模块</w:t>
            </w:r>
          </w:p>
        </w:tc>
        <w:tc>
          <w:tcPr>
            <w:tcW w:w="3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ind w:firstLine="422"/>
              <w:jc w:val="center"/>
              <w:rPr>
                <w:rFonts w:ascii="微软雅黑" w:eastAsia="微软雅黑" w:hAnsi="微软雅黑" w:cs="宋体"/>
                <w:color w:val="484848"/>
                <w:kern w:val="0"/>
                <w:szCs w:val="21"/>
              </w:rPr>
            </w:pPr>
            <w:r w:rsidRPr="00C31F2C">
              <w:rPr>
                <w:rFonts w:ascii="黑体" w:eastAsia="黑体" w:hAnsi="黑体" w:cs="宋体" w:hint="eastAsia"/>
                <w:color w:val="484848"/>
                <w:kern w:val="0"/>
                <w:szCs w:val="21"/>
              </w:rPr>
              <w:t>培训单位/轮转科室</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31F2C" w:rsidRDefault="00C31F2C" w:rsidP="00C31F2C">
            <w:pPr>
              <w:widowControl/>
              <w:spacing w:line="240" w:lineRule="exact"/>
              <w:jc w:val="center"/>
              <w:rPr>
                <w:rFonts w:ascii="黑体" w:eastAsia="黑体" w:hAnsi="黑体" w:cs="宋体"/>
                <w:color w:val="484848"/>
                <w:kern w:val="0"/>
                <w:szCs w:val="21"/>
              </w:rPr>
            </w:pPr>
            <w:r w:rsidRPr="00C31F2C">
              <w:rPr>
                <w:rFonts w:ascii="黑体" w:eastAsia="黑体" w:hAnsi="黑体" w:cs="宋体" w:hint="eastAsia"/>
                <w:color w:val="484848"/>
                <w:kern w:val="0"/>
                <w:szCs w:val="21"/>
              </w:rPr>
              <w:t>培训</w:t>
            </w:r>
          </w:p>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黑体" w:eastAsia="黑体" w:hAnsi="黑体" w:cs="宋体" w:hint="eastAsia"/>
                <w:color w:val="484848"/>
                <w:kern w:val="0"/>
                <w:szCs w:val="21"/>
              </w:rPr>
              <w:t>时间</w:t>
            </w:r>
          </w:p>
        </w:tc>
        <w:tc>
          <w:tcPr>
            <w:tcW w:w="29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黑体" w:eastAsia="黑体" w:hAnsi="黑体" w:cs="宋体" w:hint="eastAsia"/>
                <w:color w:val="484848"/>
                <w:kern w:val="0"/>
                <w:szCs w:val="21"/>
              </w:rPr>
              <w:t>培训方式</w:t>
            </w:r>
          </w:p>
        </w:tc>
      </w:tr>
      <w:tr w:rsidR="00C31F2C" w:rsidRPr="00C31F2C" w:rsidTr="00C31F2C">
        <w:trPr>
          <w:trHeight w:val="1447"/>
          <w:jc w:val="center"/>
        </w:trPr>
        <w:tc>
          <w:tcPr>
            <w:tcW w:w="14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全科医学基本理论知识培训</w:t>
            </w: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由国家公布的全科专业住院医师规范化培训基地的全科医学教研室（系）承担，培训地点自选。各培训基地应当将教学大纲报省级卫生健康行政部门备案</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1个月</w:t>
            </w:r>
          </w:p>
        </w:tc>
        <w:tc>
          <w:tcPr>
            <w:tcW w:w="2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可采用集中学习与分散自学，面授与远程培训相结合方式进行。面授集中培训时间不少于 56 学时，可分次进行。</w:t>
            </w:r>
          </w:p>
        </w:tc>
      </w:tr>
      <w:tr w:rsidR="00C31F2C" w:rsidRPr="00C31F2C" w:rsidTr="00C31F2C">
        <w:trPr>
          <w:trHeight w:val="404"/>
          <w:jc w:val="center"/>
        </w:trPr>
        <w:tc>
          <w:tcPr>
            <w:tcW w:w="147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临床综合诊疗能力培训</w:t>
            </w: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ind w:firstLine="560"/>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全科医学科</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2个月</w:t>
            </w:r>
          </w:p>
        </w:tc>
        <w:tc>
          <w:tcPr>
            <w:tcW w:w="29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1.由本人所在的二级以上医院或者国家公布的住院医师规范化培训基地承担，培训时间不少于10个月；培训基地暂未独立设置全科医学科的，其全科医学科的轮转时间计入内科。</w:t>
            </w:r>
          </w:p>
          <w:p w:rsidR="00C31F2C" w:rsidRPr="00C31F2C" w:rsidRDefault="00C31F2C" w:rsidP="00C31F2C">
            <w:pPr>
              <w:widowControl/>
              <w:spacing w:line="240" w:lineRule="exact"/>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2.内科应当依据表2要求的主要病种/健康问题选择轮转相应三级学科科室。</w:t>
            </w:r>
          </w:p>
          <w:p w:rsidR="00C31F2C" w:rsidRPr="00C31F2C" w:rsidRDefault="00C31F2C" w:rsidP="00C31F2C">
            <w:pPr>
              <w:widowControl/>
              <w:spacing w:line="240" w:lineRule="exact"/>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3.皮肤科和精神科的轮转时间共1个月，培训对象可结合实际合理选择。</w:t>
            </w:r>
          </w:p>
          <w:p w:rsidR="00C31F2C" w:rsidRPr="00C31F2C" w:rsidRDefault="00C31F2C" w:rsidP="00C31F2C">
            <w:pPr>
              <w:widowControl/>
              <w:spacing w:line="240" w:lineRule="exact"/>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4.外科、妇科、皮肤科、精神科以门诊教学为主。</w:t>
            </w:r>
          </w:p>
        </w:tc>
      </w:tr>
      <w:tr w:rsidR="00C31F2C" w:rsidRPr="00C31F2C" w:rsidTr="00C31F2C">
        <w:trPr>
          <w:trHeight w:val="411"/>
          <w:jc w:val="center"/>
        </w:trPr>
        <w:tc>
          <w:tcPr>
            <w:tcW w:w="1472" w:type="dxa"/>
            <w:vMerge/>
            <w:tcBorders>
              <w:top w:val="nil"/>
              <w:left w:val="single" w:sz="8" w:space="0" w:color="auto"/>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ind w:firstLine="560"/>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内科</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2个月</w:t>
            </w:r>
          </w:p>
        </w:tc>
        <w:tc>
          <w:tcPr>
            <w:tcW w:w="2918" w:type="dxa"/>
            <w:vMerge/>
            <w:tcBorders>
              <w:top w:val="nil"/>
              <w:left w:val="nil"/>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r>
      <w:tr w:rsidR="00C31F2C" w:rsidRPr="00C31F2C" w:rsidTr="00C31F2C">
        <w:trPr>
          <w:trHeight w:val="400"/>
          <w:jc w:val="center"/>
        </w:trPr>
        <w:tc>
          <w:tcPr>
            <w:tcW w:w="1472" w:type="dxa"/>
            <w:vMerge/>
            <w:tcBorders>
              <w:top w:val="nil"/>
              <w:left w:val="single" w:sz="8" w:space="0" w:color="auto"/>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ind w:firstLine="560"/>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神经内科</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1个月</w:t>
            </w:r>
          </w:p>
        </w:tc>
        <w:tc>
          <w:tcPr>
            <w:tcW w:w="2918" w:type="dxa"/>
            <w:vMerge/>
            <w:tcBorders>
              <w:top w:val="nil"/>
              <w:left w:val="nil"/>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r>
      <w:tr w:rsidR="00C31F2C" w:rsidRPr="00C31F2C" w:rsidTr="00C31F2C">
        <w:trPr>
          <w:trHeight w:val="397"/>
          <w:jc w:val="center"/>
        </w:trPr>
        <w:tc>
          <w:tcPr>
            <w:tcW w:w="1472" w:type="dxa"/>
            <w:vMerge/>
            <w:tcBorders>
              <w:top w:val="nil"/>
              <w:left w:val="single" w:sz="8" w:space="0" w:color="auto"/>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ind w:firstLine="560"/>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儿科</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1个月</w:t>
            </w:r>
          </w:p>
        </w:tc>
        <w:tc>
          <w:tcPr>
            <w:tcW w:w="2918" w:type="dxa"/>
            <w:vMerge/>
            <w:tcBorders>
              <w:top w:val="nil"/>
              <w:left w:val="nil"/>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r>
      <w:tr w:rsidR="00C31F2C" w:rsidRPr="00C31F2C" w:rsidTr="00C31F2C">
        <w:trPr>
          <w:trHeight w:val="402"/>
          <w:jc w:val="center"/>
        </w:trPr>
        <w:tc>
          <w:tcPr>
            <w:tcW w:w="1472" w:type="dxa"/>
            <w:vMerge/>
            <w:tcBorders>
              <w:top w:val="nil"/>
              <w:left w:val="single" w:sz="8" w:space="0" w:color="auto"/>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ind w:firstLine="560"/>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急诊科</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1个月</w:t>
            </w:r>
          </w:p>
        </w:tc>
        <w:tc>
          <w:tcPr>
            <w:tcW w:w="2918" w:type="dxa"/>
            <w:vMerge/>
            <w:tcBorders>
              <w:top w:val="nil"/>
              <w:left w:val="nil"/>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r>
      <w:tr w:rsidR="00C31F2C" w:rsidRPr="00C31F2C" w:rsidTr="00C31F2C">
        <w:trPr>
          <w:trHeight w:val="408"/>
          <w:jc w:val="center"/>
        </w:trPr>
        <w:tc>
          <w:tcPr>
            <w:tcW w:w="1472" w:type="dxa"/>
            <w:vMerge/>
            <w:tcBorders>
              <w:top w:val="nil"/>
              <w:left w:val="single" w:sz="8" w:space="0" w:color="auto"/>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ind w:firstLine="560"/>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外科</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1个月</w:t>
            </w:r>
          </w:p>
        </w:tc>
        <w:tc>
          <w:tcPr>
            <w:tcW w:w="2918" w:type="dxa"/>
            <w:vMerge/>
            <w:tcBorders>
              <w:top w:val="nil"/>
              <w:left w:val="nil"/>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r>
      <w:tr w:rsidR="00C31F2C" w:rsidRPr="00C31F2C" w:rsidTr="00C31F2C">
        <w:trPr>
          <w:trHeight w:val="401"/>
          <w:jc w:val="center"/>
        </w:trPr>
        <w:tc>
          <w:tcPr>
            <w:tcW w:w="1472" w:type="dxa"/>
            <w:vMerge/>
            <w:tcBorders>
              <w:top w:val="nil"/>
              <w:left w:val="single" w:sz="8" w:space="0" w:color="auto"/>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ind w:firstLine="560"/>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妇科</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1个月</w:t>
            </w:r>
          </w:p>
        </w:tc>
        <w:tc>
          <w:tcPr>
            <w:tcW w:w="2918" w:type="dxa"/>
            <w:vMerge/>
            <w:tcBorders>
              <w:top w:val="nil"/>
              <w:left w:val="nil"/>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r>
      <w:tr w:rsidR="00C31F2C" w:rsidRPr="00C31F2C" w:rsidTr="00C31F2C">
        <w:trPr>
          <w:trHeight w:val="551"/>
          <w:jc w:val="center"/>
        </w:trPr>
        <w:tc>
          <w:tcPr>
            <w:tcW w:w="1472" w:type="dxa"/>
            <w:vMerge/>
            <w:tcBorders>
              <w:top w:val="nil"/>
              <w:left w:val="single" w:sz="8" w:space="0" w:color="auto"/>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ind w:firstLine="560"/>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皮肤科、精神科</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1个月</w:t>
            </w:r>
          </w:p>
        </w:tc>
        <w:tc>
          <w:tcPr>
            <w:tcW w:w="2918" w:type="dxa"/>
            <w:vMerge/>
            <w:tcBorders>
              <w:top w:val="nil"/>
              <w:left w:val="nil"/>
              <w:bottom w:val="single" w:sz="8" w:space="0" w:color="auto"/>
              <w:right w:val="single" w:sz="8" w:space="0" w:color="auto"/>
            </w:tcBorders>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p>
        </w:tc>
      </w:tr>
      <w:tr w:rsidR="00C31F2C" w:rsidRPr="00C31F2C" w:rsidTr="00C31F2C">
        <w:trPr>
          <w:trHeight w:val="945"/>
          <w:jc w:val="center"/>
        </w:trPr>
        <w:tc>
          <w:tcPr>
            <w:tcW w:w="14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基层医疗卫生实践</w:t>
            </w: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由基层实践基地承担。在全科、预防保健科、康复医疗科、社区卫生服务站等进行训练</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1个月</w:t>
            </w:r>
          </w:p>
        </w:tc>
        <w:tc>
          <w:tcPr>
            <w:tcW w:w="2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分为全科医疗实践和公共卫生实践。</w:t>
            </w:r>
          </w:p>
        </w:tc>
      </w:tr>
      <w:tr w:rsidR="00C31F2C" w:rsidRPr="00C31F2C" w:rsidTr="00C31F2C">
        <w:trPr>
          <w:trHeight w:val="1555"/>
          <w:jc w:val="center"/>
        </w:trPr>
        <w:tc>
          <w:tcPr>
            <w:tcW w:w="14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全科临床思维训练</w:t>
            </w:r>
          </w:p>
        </w:tc>
        <w:tc>
          <w:tcPr>
            <w:tcW w:w="3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由国家公布的全科专业住院医师规范化培训基地的全科医学科承担，穿插在培训全过程，培训地点自选。各培训基地应当将教学大纲报省级卫生健康行政部门备案。</w:t>
            </w:r>
          </w:p>
        </w:tc>
        <w:tc>
          <w:tcPr>
            <w:tcW w:w="1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center"/>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20学时</w:t>
            </w:r>
          </w:p>
        </w:tc>
        <w:tc>
          <w:tcPr>
            <w:tcW w:w="29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31F2C" w:rsidRPr="00C31F2C" w:rsidRDefault="00C31F2C" w:rsidP="00C31F2C">
            <w:pPr>
              <w:widowControl/>
              <w:spacing w:line="240" w:lineRule="exact"/>
              <w:jc w:val="left"/>
              <w:rPr>
                <w:rFonts w:ascii="微软雅黑" w:eastAsia="微软雅黑" w:hAnsi="微软雅黑" w:cs="宋体"/>
                <w:color w:val="484848"/>
                <w:kern w:val="0"/>
                <w:szCs w:val="21"/>
              </w:rPr>
            </w:pPr>
            <w:r w:rsidRPr="00C31F2C">
              <w:rPr>
                <w:rFonts w:ascii="仿宋_GB2312" w:eastAsia="仿宋_GB2312" w:hAnsi="微软雅黑" w:cs="宋体" w:hint="eastAsia"/>
                <w:color w:val="484848"/>
                <w:kern w:val="0"/>
                <w:szCs w:val="21"/>
              </w:rPr>
              <w:t>以病例讨论为主，采用教学示范与教学实践相结合，课堂教学、门诊教学、病房教学、基层实践相结合等多种方式进行。病例讨论应不少于10次。</w:t>
            </w:r>
          </w:p>
        </w:tc>
      </w:tr>
    </w:tbl>
    <w:p w:rsidR="00C31F2C" w:rsidRPr="00C31F2C" w:rsidRDefault="00C31F2C" w:rsidP="00C31F2C">
      <w:pPr>
        <w:widowControl/>
        <w:rPr>
          <w:rFonts w:ascii="仿宋" w:eastAsia="仿宋" w:hAnsi="仿宋" w:cs="宋体"/>
          <w:color w:val="484848"/>
          <w:kern w:val="0"/>
          <w:sz w:val="32"/>
          <w:szCs w:val="32"/>
        </w:rPr>
      </w:pPr>
      <w:r w:rsidRPr="00C31F2C">
        <w:rPr>
          <w:rFonts w:ascii="仿宋" w:eastAsia="仿宋" w:hAnsi="仿宋" w:cs="宋体" w:hint="eastAsia"/>
          <w:color w:val="484848"/>
          <w:kern w:val="0"/>
          <w:sz w:val="32"/>
          <w:szCs w:val="32"/>
        </w:rPr>
        <w:t> </w:t>
      </w:r>
    </w:p>
    <w:p w:rsidR="007976E1" w:rsidRPr="00C31F2C" w:rsidRDefault="007976E1"/>
    <w:sectPr w:rsidR="007976E1" w:rsidRPr="00C31F2C" w:rsidSect="007976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1F2C"/>
    <w:rsid w:val="00005C29"/>
    <w:rsid w:val="00011DD8"/>
    <w:rsid w:val="000226D4"/>
    <w:rsid w:val="0004118F"/>
    <w:rsid w:val="00066CCE"/>
    <w:rsid w:val="00080C94"/>
    <w:rsid w:val="00081D84"/>
    <w:rsid w:val="000B28A4"/>
    <w:rsid w:val="000C1362"/>
    <w:rsid w:val="000C5F22"/>
    <w:rsid w:val="000D14E1"/>
    <w:rsid w:val="000E2BEF"/>
    <w:rsid w:val="000E4230"/>
    <w:rsid w:val="00170662"/>
    <w:rsid w:val="001C31A8"/>
    <w:rsid w:val="001C4F72"/>
    <w:rsid w:val="001D3416"/>
    <w:rsid w:val="002135B2"/>
    <w:rsid w:val="002155EC"/>
    <w:rsid w:val="00230465"/>
    <w:rsid w:val="00233FC4"/>
    <w:rsid w:val="002B7B83"/>
    <w:rsid w:val="002C7104"/>
    <w:rsid w:val="00303F0A"/>
    <w:rsid w:val="00307BA9"/>
    <w:rsid w:val="0031585E"/>
    <w:rsid w:val="00320669"/>
    <w:rsid w:val="00322EEA"/>
    <w:rsid w:val="003F052F"/>
    <w:rsid w:val="003F28CD"/>
    <w:rsid w:val="004255D3"/>
    <w:rsid w:val="00436C90"/>
    <w:rsid w:val="00452007"/>
    <w:rsid w:val="00452383"/>
    <w:rsid w:val="00485BE2"/>
    <w:rsid w:val="004D4CB6"/>
    <w:rsid w:val="00553557"/>
    <w:rsid w:val="0059577D"/>
    <w:rsid w:val="005D1D56"/>
    <w:rsid w:val="00687AC7"/>
    <w:rsid w:val="006D7386"/>
    <w:rsid w:val="007227E6"/>
    <w:rsid w:val="00727A23"/>
    <w:rsid w:val="00776123"/>
    <w:rsid w:val="007976E1"/>
    <w:rsid w:val="007A7ED2"/>
    <w:rsid w:val="007C3E7D"/>
    <w:rsid w:val="007E0926"/>
    <w:rsid w:val="007E7EE7"/>
    <w:rsid w:val="007F215F"/>
    <w:rsid w:val="00812ED9"/>
    <w:rsid w:val="00832243"/>
    <w:rsid w:val="00857BA9"/>
    <w:rsid w:val="00872423"/>
    <w:rsid w:val="008A3CAD"/>
    <w:rsid w:val="008A756B"/>
    <w:rsid w:val="008C4B80"/>
    <w:rsid w:val="008F3C99"/>
    <w:rsid w:val="00936214"/>
    <w:rsid w:val="00937C0F"/>
    <w:rsid w:val="00981D58"/>
    <w:rsid w:val="009840C7"/>
    <w:rsid w:val="00993FD1"/>
    <w:rsid w:val="009A4D86"/>
    <w:rsid w:val="009D5E55"/>
    <w:rsid w:val="009E3C2F"/>
    <w:rsid w:val="00A259D0"/>
    <w:rsid w:val="00A65323"/>
    <w:rsid w:val="00A731B3"/>
    <w:rsid w:val="00A772F4"/>
    <w:rsid w:val="00AC15CE"/>
    <w:rsid w:val="00AC178A"/>
    <w:rsid w:val="00AC24E0"/>
    <w:rsid w:val="00AC7BC7"/>
    <w:rsid w:val="00B44579"/>
    <w:rsid w:val="00B60EF8"/>
    <w:rsid w:val="00B875F3"/>
    <w:rsid w:val="00BA2763"/>
    <w:rsid w:val="00C03796"/>
    <w:rsid w:val="00C226DA"/>
    <w:rsid w:val="00C23F5E"/>
    <w:rsid w:val="00C31F2C"/>
    <w:rsid w:val="00C328F1"/>
    <w:rsid w:val="00C32D10"/>
    <w:rsid w:val="00C3671A"/>
    <w:rsid w:val="00C42868"/>
    <w:rsid w:val="00C603EF"/>
    <w:rsid w:val="00C84863"/>
    <w:rsid w:val="00C95D3B"/>
    <w:rsid w:val="00CD3CBB"/>
    <w:rsid w:val="00D02BF9"/>
    <w:rsid w:val="00D131F4"/>
    <w:rsid w:val="00D45418"/>
    <w:rsid w:val="00DA72F2"/>
    <w:rsid w:val="00DA77D1"/>
    <w:rsid w:val="00DD4903"/>
    <w:rsid w:val="00E15CAD"/>
    <w:rsid w:val="00E2404B"/>
    <w:rsid w:val="00E740E1"/>
    <w:rsid w:val="00E75753"/>
    <w:rsid w:val="00EE7030"/>
    <w:rsid w:val="00EF4943"/>
    <w:rsid w:val="00F155E2"/>
    <w:rsid w:val="00FA0654"/>
    <w:rsid w:val="00FA14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7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F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31F2C"/>
    <w:rPr>
      <w:b/>
      <w:bCs/>
    </w:rPr>
  </w:style>
</w:styles>
</file>

<file path=word/webSettings.xml><?xml version="1.0" encoding="utf-8"?>
<w:webSettings xmlns:r="http://schemas.openxmlformats.org/officeDocument/2006/relationships" xmlns:w="http://schemas.openxmlformats.org/wordprocessingml/2006/main">
  <w:divs>
    <w:div w:id="97872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102</Words>
  <Characters>582</Characters>
  <Application>Microsoft Office Word</Application>
  <DocSecurity>0</DocSecurity>
  <Lines>4</Lines>
  <Paragraphs>1</Paragraphs>
  <ScaleCrop>false</ScaleCrop>
  <Company>Hewlett-Packard Company</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5</cp:revision>
  <dcterms:created xsi:type="dcterms:W3CDTF">2019-11-18T07:28:00Z</dcterms:created>
  <dcterms:modified xsi:type="dcterms:W3CDTF">2019-11-18T08:21:00Z</dcterms:modified>
</cp:coreProperties>
</file>